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9C" w:rsidRPr="00F553E1" w:rsidRDefault="004F2A9C" w:rsidP="004F2A9C">
      <w:pPr>
        <w:spacing w:after="0"/>
        <w:ind w:right="-271"/>
        <w:contextualSpacing/>
        <w:rPr>
          <w:rFonts w:ascii="Verdana" w:hAnsi="Verdana"/>
        </w:rPr>
      </w:pPr>
    </w:p>
    <w:p w:rsidR="004F2A9C" w:rsidRPr="00F553E1" w:rsidRDefault="004F2A9C" w:rsidP="004F2A9C">
      <w:pPr>
        <w:spacing w:after="0"/>
        <w:ind w:right="-271"/>
        <w:contextualSpacing/>
        <w:rPr>
          <w:rFonts w:ascii="Verdana" w:hAnsi="Verdana"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rPr>
          <w:rFonts w:ascii="Verdana" w:hAnsi="Verdana"/>
        </w:rPr>
      </w:pPr>
      <w:r w:rsidRPr="00F553E1">
        <w:rPr>
          <w:rFonts w:ascii="Verdana" w:hAnsi="Verdana"/>
          <w:b/>
          <w:sz w:val="40"/>
        </w:rPr>
        <w:t>БЕТОНОУКЛАДЧИКИ СО СКОЛЬЗЯЩИМИ ФОРМАМИ WIRTGEN: ИННОВАЦИИ В СЕРИИ</w:t>
      </w:r>
    </w:p>
    <w:p w:rsidR="004F2A9C" w:rsidRPr="00F553E1" w:rsidRDefault="004F2A9C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F2A9C" w:rsidRPr="00F553E1" w:rsidRDefault="003B61F3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Н</w:t>
      </w:r>
      <w:r w:rsidR="004F2A9C" w:rsidRPr="00F553E1">
        <w:rPr>
          <w:rFonts w:ascii="Verdana" w:hAnsi="Verdana"/>
          <w:b/>
        </w:rPr>
        <w:t xml:space="preserve">а выставке bauma 2016 </w:t>
      </w:r>
      <w:r>
        <w:rPr>
          <w:rFonts w:ascii="Verdana" w:hAnsi="Verdana"/>
          <w:b/>
        </w:rPr>
        <w:t xml:space="preserve">компания </w:t>
      </w:r>
      <w:r w:rsidR="004F2A9C" w:rsidRPr="00F553E1">
        <w:rPr>
          <w:rFonts w:ascii="Verdana" w:hAnsi="Verdana"/>
          <w:b/>
        </w:rPr>
        <w:t>Wirtgen представ</w:t>
      </w:r>
      <w:r w:rsidR="00670E2C">
        <w:rPr>
          <w:rFonts w:ascii="Verdana" w:hAnsi="Verdana"/>
          <w:b/>
        </w:rPr>
        <w:t>и</w:t>
      </w:r>
      <w:r w:rsidR="004F2A9C" w:rsidRPr="00F553E1">
        <w:rPr>
          <w:rFonts w:ascii="Verdana" w:hAnsi="Verdana"/>
          <w:b/>
        </w:rPr>
        <w:t>т две мировые премьеры</w:t>
      </w:r>
      <w:r>
        <w:rPr>
          <w:rFonts w:ascii="Verdana" w:hAnsi="Verdana"/>
          <w:b/>
        </w:rPr>
        <w:t xml:space="preserve"> для высококачественной укладки цементобетона</w:t>
      </w:r>
      <w:r w:rsidR="004F2A9C" w:rsidRPr="00F553E1">
        <w:rPr>
          <w:rFonts w:ascii="Verdana" w:hAnsi="Verdana"/>
          <w:b/>
        </w:rPr>
        <w:t>: бетоноукладчик со скользящими формами SP 64i и финишер TCM 180i, а также бетоноукладчик со скользящими формами SP 94i.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Большое разнообразие и высокое качество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 xml:space="preserve">будь </w:t>
      </w:r>
      <w:r w:rsidR="00417792">
        <w:rPr>
          <w:rFonts w:ascii="Verdana" w:hAnsi="Verdana"/>
        </w:rPr>
        <w:t>то плоские покрытия</w:t>
      </w:r>
      <w:r w:rsidR="00417792" w:rsidRPr="00417792">
        <w:rPr>
          <w:rFonts w:ascii="Verdana" w:hAnsi="Verdana"/>
        </w:rPr>
        <w:t xml:space="preserve"> (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="00417792" w:rsidRPr="00417792">
        <w:rPr>
          <w:rFonts w:ascii="Verdana" w:hAnsi="Verdana"/>
        </w:rPr>
        <w:t>)</w:t>
      </w:r>
      <w:r w:rsidR="00670E2C" w:rsidRPr="00670E2C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или </w:t>
      </w:r>
      <w:r w:rsidR="00417792">
        <w:rPr>
          <w:rFonts w:ascii="Verdana" w:hAnsi="Verdana"/>
        </w:rPr>
        <w:t>монолитные профили</w:t>
      </w:r>
      <w:r w:rsidR="00417792" w:rsidRPr="00417792">
        <w:rPr>
          <w:rFonts w:ascii="Verdana" w:hAnsi="Verdana"/>
        </w:rPr>
        <w:t xml:space="preserve"> (</w:t>
      </w:r>
      <w:r w:rsidR="00670E2C">
        <w:rPr>
          <w:rFonts w:ascii="Verdana" w:hAnsi="Verdana"/>
          <w:lang w:val="de-DE"/>
        </w:rPr>
        <w:t>Offset</w:t>
      </w:r>
      <w:r w:rsidR="00417792" w:rsidRPr="00417792">
        <w:rPr>
          <w:rFonts w:ascii="Verdana" w:hAnsi="Verdana"/>
        </w:rPr>
        <w:t>)</w:t>
      </w:r>
      <w:r w:rsidRPr="00F553E1">
        <w:rPr>
          <w:rFonts w:ascii="Verdana" w:hAnsi="Verdana"/>
        </w:rPr>
        <w:t xml:space="preserve">. Проверенные технологии позволяют </w:t>
      </w:r>
      <w:r w:rsidR="00F57668">
        <w:rPr>
          <w:rFonts w:ascii="Verdana" w:hAnsi="Verdana"/>
        </w:rPr>
        <w:t>применять</w:t>
      </w:r>
      <w:r w:rsidR="00F57668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>бетоноукладчики со скользящими формами Wirtgen практически для любых строительных работ, включая укладку специальными формами.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670E2C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 w:rsidRPr="00F553E1">
        <w:rPr>
          <w:rFonts w:ascii="Verdana" w:hAnsi="Verdana"/>
          <w:b/>
        </w:rPr>
        <w:t xml:space="preserve">Серия SP 90: </w:t>
      </w:r>
      <w:proofErr w:type="spellStart"/>
      <w:r w:rsidR="00670E2C">
        <w:rPr>
          <w:rFonts w:ascii="Verdana" w:hAnsi="Verdana"/>
          <w:b/>
          <w:lang w:val="de-DE"/>
        </w:rPr>
        <w:t>Inset</w:t>
      </w:r>
      <w:proofErr w:type="spellEnd"/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Бетоноукладчики со скользящей формой 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Pr="00F553E1">
        <w:rPr>
          <w:rFonts w:ascii="Verdana" w:hAnsi="Verdana"/>
        </w:rPr>
        <w:t xml:space="preserve"> идеальны для экономичной укладки </w:t>
      </w:r>
      <w:r w:rsidR="00DA482A">
        <w:rPr>
          <w:rFonts w:ascii="Verdana" w:hAnsi="Verdana"/>
        </w:rPr>
        <w:t>цементо</w:t>
      </w:r>
      <w:r w:rsidR="00DA482A" w:rsidRPr="00F553E1">
        <w:rPr>
          <w:rFonts w:ascii="Verdana" w:hAnsi="Verdana"/>
        </w:rPr>
        <w:t xml:space="preserve">бетонных </w:t>
      </w:r>
      <w:r w:rsidRPr="00F553E1">
        <w:rPr>
          <w:rFonts w:ascii="Verdana" w:hAnsi="Verdana"/>
        </w:rPr>
        <w:t xml:space="preserve">покрытий на большой площади, напр., на автотрассах с повышенной нагрузкой или взлетно-посадочных полосах. Благодаря </w:t>
      </w:r>
      <w:r w:rsidR="009F74DD">
        <w:rPr>
          <w:rFonts w:ascii="Verdana" w:hAnsi="Verdana"/>
        </w:rPr>
        <w:t>широкой</w:t>
      </w:r>
      <w:r w:rsidR="009F74DD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>ли</w:t>
      </w:r>
      <w:r w:rsidR="00670E2C">
        <w:rPr>
          <w:rFonts w:ascii="Verdana" w:hAnsi="Verdana"/>
        </w:rPr>
        <w:t>нейке машин, передвижные заводы</w:t>
      </w:r>
      <w:r w:rsidRPr="00F553E1">
        <w:rPr>
          <w:rFonts w:ascii="Verdana" w:hAnsi="Verdana"/>
        </w:rPr>
        <w:t xml:space="preserve"> Wirtgen способны укладывать между своими гусеничными тележками </w:t>
      </w:r>
      <w:r w:rsidR="009F74DD">
        <w:rPr>
          <w:rFonts w:ascii="Verdana" w:hAnsi="Verdana"/>
        </w:rPr>
        <w:t>полосы</w:t>
      </w:r>
      <w:r w:rsidRPr="00F553E1">
        <w:rPr>
          <w:rFonts w:ascii="Verdana" w:hAnsi="Verdana"/>
        </w:rPr>
        <w:t xml:space="preserve"> шириной до 18,0 м.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SP 94i, составляющий вместе с SP 92i новую серию SP 90, имеет модульную конструкцию на четырех управляемых гусеничных тележках. Эта машина с высокой точностью укладывает </w:t>
      </w:r>
      <w:r w:rsidR="00031B68">
        <w:rPr>
          <w:rFonts w:ascii="Verdana" w:hAnsi="Verdana"/>
        </w:rPr>
        <w:t>цементобетонные полосы</w:t>
      </w:r>
      <w:r w:rsidRPr="00F553E1">
        <w:rPr>
          <w:rFonts w:ascii="Verdana" w:hAnsi="Verdana"/>
        </w:rPr>
        <w:t xml:space="preserve"> шириной от 3,5 до 9,5 м и толщиной до 450 мм. Множество опций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>например, модуль для забивки дюбелей (DBI), центральных и боковых анкеров или различные форм</w:t>
      </w:r>
      <w:r w:rsidR="008621CD">
        <w:rPr>
          <w:rFonts w:ascii="Verdana" w:hAnsi="Verdana"/>
        </w:rPr>
        <w:t>ы</w:t>
      </w:r>
      <w:r w:rsidRPr="00F553E1">
        <w:rPr>
          <w:rFonts w:ascii="Verdana" w:hAnsi="Verdana"/>
        </w:rPr>
        <w:t>, индивидуально изготавливаемые по всему миру в соответствии с региональным требованиями для укладки плоских покрытий</w:t>
      </w:r>
      <w:r w:rsidR="00670E2C" w:rsidRPr="00670E2C">
        <w:rPr>
          <w:rFonts w:ascii="Verdana" w:hAnsi="Verdana"/>
        </w:rPr>
        <w:t xml:space="preserve"> (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="00670E2C" w:rsidRPr="00670E2C">
        <w:rPr>
          <w:rFonts w:ascii="Verdana" w:hAnsi="Verdana"/>
        </w:rPr>
        <w:t>)</w:t>
      </w:r>
      <w:r w:rsidRPr="00F553E1">
        <w:rPr>
          <w:rFonts w:ascii="Verdana" w:hAnsi="Verdana"/>
        </w:rPr>
        <w:t xml:space="preserve">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 xml:space="preserve">позволяют настроить конфигурацию SP 94i для решения самых разнообразных задач. Кроме того, и SP 94i, и SP 92i </w:t>
      </w:r>
      <w:r w:rsidR="008621CD">
        <w:rPr>
          <w:rFonts w:ascii="Verdana" w:hAnsi="Verdana"/>
        </w:rPr>
        <w:t>отличаются</w:t>
      </w:r>
      <w:r w:rsidR="008621CD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высокой точностью укладки, интуитивным управлением и высоким удобством эксплуатации.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417792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 w:rsidRPr="00F553E1">
        <w:rPr>
          <w:rFonts w:ascii="Verdana" w:hAnsi="Verdana"/>
          <w:b/>
        </w:rPr>
        <w:t xml:space="preserve">Серия SP 60: </w:t>
      </w:r>
      <w:proofErr w:type="spellStart"/>
      <w:r w:rsidR="00670E2C">
        <w:rPr>
          <w:rFonts w:ascii="Verdana" w:hAnsi="Verdana"/>
          <w:b/>
          <w:lang w:val="de-DE"/>
        </w:rPr>
        <w:t>Inset</w:t>
      </w:r>
      <w:proofErr w:type="spellEnd"/>
      <w:r w:rsidR="00670E2C" w:rsidRPr="00417792">
        <w:rPr>
          <w:rFonts w:ascii="Verdana" w:hAnsi="Verdana"/>
          <w:b/>
        </w:rPr>
        <w:t xml:space="preserve"> + </w:t>
      </w:r>
      <w:r w:rsidR="00670E2C">
        <w:rPr>
          <w:rFonts w:ascii="Verdana" w:hAnsi="Verdana"/>
          <w:b/>
          <w:lang w:val="de-DE"/>
        </w:rPr>
        <w:t>Offset</w:t>
      </w:r>
    </w:p>
    <w:p w:rsidR="00D06CE2" w:rsidRPr="004556E9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F553E1">
        <w:rPr>
          <w:rFonts w:ascii="Verdana" w:hAnsi="Verdana"/>
        </w:rPr>
        <w:t>Вместе с моделями SP 61i и SP 62i модель SP 64i входит в новую серию SP 60, которая в будущем заменит бетоноукладчик со скользящими формами SP 500. При норме токсичности класса Евро 4 / US Tier 4 Final 180-киловаттный SP 64i (155 кВт</w:t>
      </w:r>
      <w:r w:rsidRPr="00F553E1">
        <w:t xml:space="preserve"> </w:t>
      </w:r>
      <w:r w:rsidRPr="00F553E1">
        <w:rPr>
          <w:rFonts w:ascii="Verdana" w:hAnsi="Verdana"/>
        </w:rPr>
        <w:t xml:space="preserve">при норме токсичности класса Евро 3a / US Tier 3) также может быть оснащен четырьмя опциональными гидравлическими поворотными </w:t>
      </w:r>
    </w:p>
    <w:p w:rsidR="00D06CE2" w:rsidRPr="004556E9" w:rsidRDefault="00D06CE2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D06CE2" w:rsidRPr="004556E9" w:rsidRDefault="00D06CE2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кронштейнами. Это позволяет машине переходить из транспортного режима в рабочий быстрее, чем это делает SP 500. В сочетании с опциональным пакетом Paving Plus поворотные кронштейны позволяют активно объезжать препятствия во время укладки </w:t>
      </w:r>
      <w:r w:rsidR="00CB5B6F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бетона.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Впервые расположенная вдоль всей машины платформа, единая концепция управления с </w:t>
      </w:r>
      <w:r w:rsidR="009C623F" w:rsidRPr="00F553E1">
        <w:rPr>
          <w:rFonts w:ascii="Verdana" w:hAnsi="Verdana"/>
        </w:rPr>
        <w:t>центральн</w:t>
      </w:r>
      <w:r w:rsidR="009C623F">
        <w:rPr>
          <w:rFonts w:ascii="Verdana" w:hAnsi="Verdana"/>
        </w:rPr>
        <w:t>ой</w:t>
      </w:r>
      <w:r w:rsidR="009C623F" w:rsidRPr="00F553E1">
        <w:rPr>
          <w:rFonts w:ascii="Verdana" w:hAnsi="Verdana"/>
        </w:rPr>
        <w:t xml:space="preserve"> </w:t>
      </w:r>
      <w:r w:rsidR="009C623F">
        <w:rPr>
          <w:rFonts w:ascii="Verdana" w:hAnsi="Verdana"/>
        </w:rPr>
        <w:t>системой</w:t>
      </w:r>
      <w:r w:rsidR="009C623F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>и четырьмя дополнительными децентрализованными системами, входящие в стандартную поставку, обеспечивают оператору машины простоту и гибкость управления. Так, среди прочего, к каждой гусеничной тележке можно подключить пульты дистанционного управления, упрощающие и ускоряющие выравнивание бетоноукладчика со скользящими формами, например позиционирование и установку на нуль гусеничных тележек и поворотных кронштейнов. Высокая гибкость опциональной установки навесного оборудования или переоборудования машины обеспечивается при этом стандартизованными интерфейсами и системной шиной. Универсальность серии SP 60 основывается на беспроблемном расширении возможностей машины при помощи дополнительных компонентов для решения комплексных, индивидуальных задач клиента. Модульный принцип позволяет клиенту, также как и в машинах SP 94i и SP 92i, выбирать различные системы форм для укладки плоских покрытий</w:t>
      </w:r>
      <w:r w:rsidR="00670E2C" w:rsidRPr="00670E2C">
        <w:rPr>
          <w:rFonts w:ascii="Verdana" w:hAnsi="Verdana"/>
        </w:rPr>
        <w:t xml:space="preserve"> (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="00670E2C" w:rsidRPr="00670E2C">
        <w:rPr>
          <w:rFonts w:ascii="Verdana" w:hAnsi="Verdana"/>
        </w:rPr>
        <w:t>)</w:t>
      </w:r>
      <w:r w:rsidRPr="00F553E1">
        <w:rPr>
          <w:rFonts w:ascii="Verdana" w:hAnsi="Verdana"/>
        </w:rPr>
        <w:t>. Формы принципиально подходят и для применения с серией SP 90. Помимо того, возможно применение форм для монолитных профилей</w:t>
      </w:r>
      <w:r w:rsidR="00670E2C" w:rsidRPr="00670E2C">
        <w:rPr>
          <w:rFonts w:ascii="Verdana" w:hAnsi="Verdana"/>
        </w:rPr>
        <w:t xml:space="preserve"> (</w:t>
      </w:r>
      <w:r w:rsidR="00670E2C">
        <w:rPr>
          <w:rFonts w:ascii="Verdana" w:hAnsi="Verdana"/>
          <w:lang w:val="de-DE"/>
        </w:rPr>
        <w:t>Offset</w:t>
      </w:r>
      <w:r w:rsidR="00670E2C" w:rsidRPr="00670E2C">
        <w:rPr>
          <w:rFonts w:ascii="Verdana" w:hAnsi="Verdana"/>
        </w:rPr>
        <w:t>)</w:t>
      </w:r>
      <w:r w:rsidRPr="00F553E1">
        <w:rPr>
          <w:rFonts w:ascii="Verdana" w:hAnsi="Verdana"/>
        </w:rPr>
        <w:t xml:space="preserve">, которые могут поставляться с многочисленными типичными для монолитных форм опциями, такими как триммер, разнообразные ленточные или винтовые конвейеры для загрузки формы.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При укладке плоского покрытия </w:t>
      </w:r>
      <w:r w:rsidR="00670E2C" w:rsidRPr="00670E2C">
        <w:rPr>
          <w:rFonts w:ascii="Verdana" w:hAnsi="Verdana"/>
        </w:rPr>
        <w:t>(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="00670E2C" w:rsidRPr="00670E2C">
        <w:rPr>
          <w:rFonts w:ascii="Verdana" w:hAnsi="Verdana"/>
        </w:rPr>
        <w:t xml:space="preserve">) </w:t>
      </w:r>
      <w:r w:rsidRPr="00F553E1">
        <w:rPr>
          <w:rFonts w:ascii="Verdana" w:hAnsi="Verdana"/>
        </w:rPr>
        <w:t xml:space="preserve">при помощи SP 64i (4 гусеничных тележки на поворотных кронштейнах) и SP 62i (рычажное рулевое управление) можно укладывать покрытие шириной до 6,0 м и толщиной 350 мм в стандартном исполнении, а по запросу клиента и толще. При оснащении электрическим вибратором можно достичь ширины укладки до 7,5 м.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>При укладке монолитных профилей</w:t>
      </w:r>
      <w:r w:rsidR="00670E2C" w:rsidRPr="00670E2C">
        <w:rPr>
          <w:rFonts w:ascii="Verdana" w:hAnsi="Verdana"/>
        </w:rPr>
        <w:t xml:space="preserve"> (</w:t>
      </w:r>
      <w:r w:rsidR="00670E2C">
        <w:rPr>
          <w:rFonts w:ascii="Verdana" w:hAnsi="Verdana"/>
          <w:lang w:val="de-DE"/>
        </w:rPr>
        <w:t>Offset</w:t>
      </w:r>
      <w:r w:rsidR="00670E2C" w:rsidRPr="00670E2C">
        <w:rPr>
          <w:rFonts w:ascii="Verdana" w:hAnsi="Verdana"/>
        </w:rPr>
        <w:t>)</w:t>
      </w:r>
      <w:r w:rsidRPr="00F553E1">
        <w:rPr>
          <w:rFonts w:ascii="Verdana" w:hAnsi="Verdana"/>
        </w:rPr>
        <w:t xml:space="preserve"> (без дюбелей DBI) в серии SP 60 укладчик SP 61i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>в исполнении с 3 или 4 гусеничными тележками</w:t>
      </w:r>
      <w:r w:rsidR="00670E2C">
        <w:rPr>
          <w:rFonts w:ascii="Verdana" w:hAnsi="Verdana"/>
        </w:rPr>
        <w:t xml:space="preserve">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 xml:space="preserve">укладывает как малые, так и </w:t>
      </w:r>
      <w:r w:rsidR="002B2D96">
        <w:rPr>
          <w:rFonts w:ascii="Verdana" w:hAnsi="Verdana"/>
        </w:rPr>
        <w:t>большие</w:t>
      </w:r>
      <w:r w:rsidR="002B2D96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монолитные профили слева или справа от себя. Спектр стандартных и специальных скользящих форм Wirtgen, изготовленных в соответствии с предназначением и особыми требованиями клиента, отличается разнообразием. Ограждение дорог, защитные </w:t>
      </w:r>
      <w:r w:rsidR="000F6EA6">
        <w:rPr>
          <w:rFonts w:ascii="Verdana" w:hAnsi="Verdana"/>
        </w:rPr>
        <w:t>барьеры</w:t>
      </w:r>
      <w:r w:rsidRPr="00F553E1">
        <w:rPr>
          <w:rFonts w:ascii="Verdana" w:hAnsi="Verdana"/>
        </w:rPr>
        <w:t>, водостоки или узкие дорожки: возможны формы любого мыслимого профиля, высокого качества и по приемлемой цене. Таким образом, бетоноукладчики со скользящими формами отличаются многофункциональ</w:t>
      </w:r>
      <w:r w:rsidR="00670E2C" w:rsidRPr="00670E2C">
        <w:rPr>
          <w:rFonts w:ascii="Verdana" w:hAnsi="Verdana"/>
        </w:rPr>
        <w:softHyphen/>
      </w:r>
      <w:r w:rsidRPr="00F553E1">
        <w:rPr>
          <w:rFonts w:ascii="Verdana" w:hAnsi="Verdana"/>
        </w:rPr>
        <w:t xml:space="preserve">ностью и могут применяться для множества разнообразных видов работ.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670E2C" w:rsidRPr="00417792" w:rsidRDefault="00670E2C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 w:rsidRPr="00F553E1">
        <w:rPr>
          <w:rFonts w:ascii="Verdana" w:hAnsi="Verdana"/>
          <w:b/>
        </w:rPr>
        <w:t>Экономичная и высокоточная укладка при помощи машин указан</w:t>
      </w:r>
      <w:r w:rsidR="00670E2C" w:rsidRPr="00670E2C">
        <w:rPr>
          <w:rFonts w:ascii="Verdana" w:hAnsi="Verdana"/>
          <w:b/>
        </w:rPr>
        <w:softHyphen/>
      </w:r>
      <w:r w:rsidRPr="00F553E1">
        <w:rPr>
          <w:rFonts w:ascii="Verdana" w:hAnsi="Verdana"/>
          <w:b/>
        </w:rPr>
        <w:t>ных</w:t>
      </w:r>
      <w:r w:rsidR="00670E2C">
        <w:rPr>
          <w:rFonts w:ascii="Verdana" w:hAnsi="Verdana"/>
          <w:b/>
          <w:lang w:val="de-DE"/>
        </w:rPr>
        <w:t> </w:t>
      </w:r>
      <w:r w:rsidRPr="00F553E1">
        <w:rPr>
          <w:rFonts w:ascii="Verdana" w:hAnsi="Verdana"/>
          <w:b/>
        </w:rPr>
        <w:t>серий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Помимо высокой универсальности и серия SP 90, и серия SP 60 отличаются высокой экономичностью и производительностью, а также большим количеством практичных функций. Модульная конструкция машин обеспечивает строительным организациям подходящее решение для любых работ по укладке плоских покрытий </w:t>
      </w:r>
      <w:r w:rsidR="00670E2C" w:rsidRPr="00670E2C">
        <w:rPr>
          <w:rFonts w:ascii="Verdana" w:hAnsi="Verdana"/>
        </w:rPr>
        <w:t>(</w:t>
      </w:r>
      <w:proofErr w:type="spellStart"/>
      <w:r w:rsidR="00670E2C">
        <w:rPr>
          <w:rFonts w:ascii="Verdana" w:hAnsi="Verdana"/>
          <w:lang w:val="de-DE"/>
        </w:rPr>
        <w:t>Inset</w:t>
      </w:r>
      <w:proofErr w:type="spellEnd"/>
      <w:r w:rsidR="00670E2C" w:rsidRPr="00670E2C">
        <w:rPr>
          <w:rFonts w:ascii="Verdana" w:hAnsi="Verdana"/>
        </w:rPr>
        <w:t xml:space="preserve">) </w:t>
      </w:r>
      <w:r w:rsidRPr="00F553E1">
        <w:rPr>
          <w:rFonts w:ascii="Verdana" w:hAnsi="Verdana"/>
        </w:rPr>
        <w:t>и монолитных профилей</w:t>
      </w:r>
      <w:r w:rsidR="00670E2C" w:rsidRPr="00670E2C">
        <w:rPr>
          <w:rFonts w:ascii="Verdana" w:hAnsi="Verdana"/>
        </w:rPr>
        <w:t xml:space="preserve"> (</w:t>
      </w:r>
      <w:r w:rsidR="00670E2C">
        <w:rPr>
          <w:rFonts w:ascii="Verdana" w:hAnsi="Verdana"/>
          <w:lang w:val="de-DE"/>
        </w:rPr>
        <w:t>Offset</w:t>
      </w:r>
      <w:r w:rsidR="00670E2C" w:rsidRPr="00670E2C">
        <w:rPr>
          <w:rFonts w:ascii="Verdana" w:hAnsi="Verdana"/>
        </w:rPr>
        <w:t>)</w:t>
      </w:r>
      <w:r w:rsidRPr="00F553E1">
        <w:rPr>
          <w:rFonts w:ascii="Verdana" w:hAnsi="Verdana"/>
        </w:rPr>
        <w:t xml:space="preserve">. Модульность бетоноукладчиков со скользящими формами также значительно облегчает их транспортировку.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Благодаря прочим характеристикам, таким как </w:t>
      </w:r>
      <w:r w:rsidR="00C113DA">
        <w:rPr>
          <w:rFonts w:ascii="Verdana" w:hAnsi="Verdana"/>
        </w:rPr>
        <w:t>экономичный режим работы</w:t>
      </w:r>
      <w:r w:rsidRPr="00F553E1">
        <w:rPr>
          <w:rFonts w:ascii="Verdana" w:hAnsi="Verdana"/>
        </w:rPr>
        <w:t xml:space="preserve"> </w:t>
      </w:r>
      <w:r w:rsidR="00C113DA" w:rsidRPr="00F553E1">
        <w:rPr>
          <w:rFonts w:ascii="Verdana" w:hAnsi="Verdana"/>
        </w:rPr>
        <w:t>двигател</w:t>
      </w:r>
      <w:r w:rsidR="00C113DA">
        <w:rPr>
          <w:rFonts w:ascii="Verdana" w:hAnsi="Verdana"/>
        </w:rPr>
        <w:t>я</w:t>
      </w:r>
      <w:r w:rsidR="00C113DA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Eco Mode или трехмерный интерфейс Easy Connect, клиенту гарантирована не только экономичная и точная укладка </w:t>
      </w:r>
      <w:r w:rsidR="00831DD8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бетона высочайшего качества, но и высокая надежность эксплуатации.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 w:rsidRPr="00F553E1">
        <w:rPr>
          <w:rFonts w:ascii="Verdana" w:hAnsi="Verdana"/>
          <w:b/>
        </w:rPr>
        <w:t xml:space="preserve">TCM 180i: удобное решение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Гарантом успеха при правильной финишной обработке </w:t>
      </w:r>
      <w:r w:rsidR="00164508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бетонных покрытий являются самоходные финишеры, такие как новый TCM 180i Wirtgen, премьера которого состоится на выставке bauma 2016. Сразу после укладки бетоноукладчиком со скользящими формами </w:t>
      </w:r>
      <w:r w:rsidR="00164508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 необходимо заблаговременно защитить от высыхания во избежание напряжений, ведущих к образованию трещин. Финишер оснащен автоматическими разбрызгивателями и щеточными агрегатами, и при укладке </w:t>
      </w:r>
      <w:r w:rsidR="00164508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бетона он следует непосредственно за бетоноукладчиком со скользящими формами, чтобы придать поверхности </w:t>
      </w:r>
      <w:r w:rsidR="00164508">
        <w:rPr>
          <w:rFonts w:ascii="Verdana" w:hAnsi="Verdana"/>
        </w:rPr>
        <w:t>цементо</w:t>
      </w:r>
      <w:r w:rsidRPr="00F553E1">
        <w:rPr>
          <w:rFonts w:ascii="Verdana" w:hAnsi="Verdana"/>
        </w:rPr>
        <w:t xml:space="preserve">бетонного покрытия необходимую </w:t>
      </w:r>
      <w:r w:rsidR="00D441DB">
        <w:rPr>
          <w:rFonts w:ascii="Verdana" w:hAnsi="Verdana"/>
        </w:rPr>
        <w:t>текстуру</w:t>
      </w:r>
      <w:r w:rsidRPr="00F553E1">
        <w:rPr>
          <w:rFonts w:ascii="Verdana" w:hAnsi="Verdana"/>
        </w:rPr>
        <w:t xml:space="preserve">. В заключение разбрызгиватель обеспечивает распределение жидкости по свежему </w:t>
      </w:r>
      <w:r w:rsidR="00D441DB">
        <w:rPr>
          <w:rFonts w:ascii="Verdana" w:hAnsi="Verdana"/>
        </w:rPr>
        <w:t>цементо</w:t>
      </w:r>
      <w:r w:rsidRPr="00F553E1">
        <w:rPr>
          <w:rFonts w:ascii="Verdana" w:hAnsi="Verdana"/>
        </w:rPr>
        <w:t>бетонному покрытию, предотвращая</w:t>
      </w:r>
      <w:r w:rsidR="00D441DB">
        <w:rPr>
          <w:rFonts w:ascii="Verdana" w:hAnsi="Verdana"/>
        </w:rPr>
        <w:t>,</w:t>
      </w:r>
      <w:r w:rsidRPr="00F553E1">
        <w:rPr>
          <w:rFonts w:ascii="Verdana" w:hAnsi="Verdana"/>
        </w:rPr>
        <w:t xml:space="preserve"> таким образом</w:t>
      </w:r>
      <w:r w:rsidR="00D441DB">
        <w:rPr>
          <w:rFonts w:ascii="Verdana" w:hAnsi="Verdana"/>
        </w:rPr>
        <w:t xml:space="preserve">, </w:t>
      </w:r>
      <w:r w:rsidRPr="00F553E1">
        <w:rPr>
          <w:rFonts w:ascii="Verdana" w:hAnsi="Verdana"/>
        </w:rPr>
        <w:t xml:space="preserve">его преждевременное высыхание.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D06CE2" w:rsidRPr="004556E9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F553E1">
        <w:rPr>
          <w:rFonts w:ascii="Verdana" w:hAnsi="Verdana"/>
        </w:rPr>
        <w:t xml:space="preserve">TCM 180i </w:t>
      </w:r>
      <w:r w:rsidRPr="00F553E1">
        <w:rPr>
          <w:rFonts w:ascii="Verdana" w:hAnsi="Verdana" w:cs="Verdana"/>
          <w:cs/>
        </w:rPr>
        <w:t xml:space="preserve">– </w:t>
      </w:r>
      <w:r w:rsidRPr="00F553E1">
        <w:rPr>
          <w:rFonts w:ascii="Verdana" w:hAnsi="Verdana"/>
        </w:rPr>
        <w:t xml:space="preserve">это новейший финишер, который еще более расширяет возможности высококачественной укладки при помощи </w:t>
      </w:r>
      <w:r w:rsidR="008074F9">
        <w:rPr>
          <w:rFonts w:ascii="Verdana" w:hAnsi="Verdana"/>
        </w:rPr>
        <w:t>техники</w:t>
      </w:r>
      <w:r w:rsidR="008074F9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>Wirtgen. Модульная конструкция обеспечивает рабочую ширину от 4 м до 18 м. Новый силовой агрегат TCM 180i выполнен по самой экологичной технологии, соответствующей норме токсичности класса Евро 4 / US Tier 4 Final. Помимо того, двигатель можно оснастить дополнительным сажевым фильтром (DPF). Благодаря новой концепции управления новый финишер имеет такое же интуитивное управление, как и бетоноукладчики со скользящими формами Wirtgen серий SP</w:t>
      </w:r>
      <w:r w:rsidR="00670E2C">
        <w:rPr>
          <w:rFonts w:ascii="Verdana" w:hAnsi="Verdana"/>
          <w:lang w:val="de-DE"/>
        </w:rPr>
        <w:t> </w:t>
      </w:r>
      <w:r w:rsidRPr="00F553E1">
        <w:rPr>
          <w:rFonts w:ascii="Verdana" w:hAnsi="Verdana"/>
        </w:rPr>
        <w:t xml:space="preserve">90 и SP 60. Помимо </w:t>
      </w:r>
      <w:r w:rsidR="00163037" w:rsidRPr="00F553E1">
        <w:rPr>
          <w:rFonts w:ascii="Verdana" w:hAnsi="Verdana"/>
        </w:rPr>
        <w:t>современн</w:t>
      </w:r>
      <w:r w:rsidR="00163037">
        <w:rPr>
          <w:rFonts w:ascii="Verdana" w:hAnsi="Verdana"/>
        </w:rPr>
        <w:t>ых</w:t>
      </w:r>
      <w:r w:rsidRPr="00F553E1">
        <w:rPr>
          <w:rFonts w:ascii="Verdana" w:hAnsi="Verdana"/>
        </w:rPr>
        <w:t xml:space="preserve">, наглядно </w:t>
      </w:r>
      <w:r w:rsidR="00163037">
        <w:rPr>
          <w:rFonts w:ascii="Verdana" w:hAnsi="Verdana"/>
        </w:rPr>
        <w:t>сгруппированных функций</w:t>
      </w:r>
      <w:r w:rsidRPr="00F553E1">
        <w:rPr>
          <w:rFonts w:ascii="Verdana" w:hAnsi="Verdana"/>
        </w:rPr>
        <w:t xml:space="preserve">, консоль управления имеет также ряд новых функций </w:t>
      </w:r>
      <w:r w:rsidR="00163037">
        <w:rPr>
          <w:rFonts w:ascii="Verdana" w:hAnsi="Verdana"/>
        </w:rPr>
        <w:t xml:space="preserve">для </w:t>
      </w:r>
      <w:r w:rsidRPr="00F553E1">
        <w:rPr>
          <w:rFonts w:ascii="Verdana" w:hAnsi="Verdana"/>
        </w:rPr>
        <w:t xml:space="preserve">обслуживания и контроля, оптимизирующих рабочий процесс. </w:t>
      </w:r>
      <w:r w:rsidR="00B65788">
        <w:rPr>
          <w:rFonts w:ascii="Verdana" w:hAnsi="Verdana"/>
        </w:rPr>
        <w:t>Н</w:t>
      </w:r>
      <w:r w:rsidRPr="00F553E1">
        <w:rPr>
          <w:rFonts w:ascii="Verdana" w:hAnsi="Verdana"/>
        </w:rPr>
        <w:t xml:space="preserve">а </w:t>
      </w:r>
      <w:r w:rsidR="00B65788">
        <w:rPr>
          <w:rFonts w:ascii="Verdana" w:hAnsi="Verdana"/>
        </w:rPr>
        <w:t>эффективность которого также влияет</w:t>
      </w:r>
      <w:r w:rsidRPr="00F553E1">
        <w:rPr>
          <w:rFonts w:ascii="Verdana" w:hAnsi="Verdana"/>
        </w:rPr>
        <w:t xml:space="preserve"> новая концепция гидравлики, поскольку тяговый привод можно </w:t>
      </w:r>
    </w:p>
    <w:p w:rsidR="00D06CE2" w:rsidRPr="004556E9" w:rsidRDefault="00D06CE2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D06CE2" w:rsidRPr="004556E9" w:rsidRDefault="00D06CE2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>теперь, среди прочего, переключать на различных скоростях (в</w:t>
      </w:r>
      <w:r w:rsidR="00670E2C">
        <w:rPr>
          <w:rFonts w:ascii="Verdana" w:hAnsi="Verdana"/>
          <w:lang w:val="de-DE"/>
        </w:rPr>
        <w:t> </w:t>
      </w:r>
      <w:r w:rsidRPr="00F553E1">
        <w:rPr>
          <w:rFonts w:ascii="Verdana" w:hAnsi="Verdana"/>
        </w:rPr>
        <w:t xml:space="preserve">рабочем и </w:t>
      </w:r>
      <w:r w:rsidR="00163037" w:rsidRPr="00F553E1">
        <w:rPr>
          <w:rFonts w:ascii="Verdana" w:hAnsi="Verdana"/>
        </w:rPr>
        <w:t>транспорт</w:t>
      </w:r>
      <w:r w:rsidR="00163037">
        <w:rPr>
          <w:rFonts w:ascii="Verdana" w:hAnsi="Verdana"/>
        </w:rPr>
        <w:t>ном</w:t>
      </w:r>
      <w:r w:rsidR="00163037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режиме). Регулирование высоты отвечает всем требованиям благодаря пропорциональному управлению.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Для того, чтобы оптимально реагировать на различные требования клиентов по всему миру, Wirtgen расширил спектр возможностей создания разнообразных </w:t>
      </w:r>
      <w:r w:rsidR="00B65788">
        <w:rPr>
          <w:rFonts w:ascii="Verdana" w:hAnsi="Verdana"/>
        </w:rPr>
        <w:t>текстур</w:t>
      </w:r>
      <w:r w:rsidR="00B65788" w:rsidRPr="00F553E1">
        <w:rPr>
          <w:rFonts w:ascii="Verdana" w:hAnsi="Verdana"/>
        </w:rPr>
        <w:t xml:space="preserve"> </w:t>
      </w:r>
      <w:r w:rsidRPr="00F553E1">
        <w:rPr>
          <w:rFonts w:ascii="Verdana" w:hAnsi="Verdana"/>
        </w:rPr>
        <w:t xml:space="preserve">поверхности. Помимо проверенных временем функций поперечной обработки щетками и поперечного разбрызгивания, в будущем возможно будет выполнять продольную обработку щетками и разбрызгивание, а также создание диагональной </w:t>
      </w:r>
      <w:r w:rsidR="00B65788">
        <w:rPr>
          <w:rFonts w:ascii="Verdana" w:hAnsi="Verdana"/>
        </w:rPr>
        <w:t>текстуры</w:t>
      </w:r>
      <w:r w:rsidRPr="00F553E1">
        <w:rPr>
          <w:rFonts w:ascii="Verdana" w:hAnsi="Verdana"/>
        </w:rPr>
        <w:t xml:space="preserve">. Кроме того, машину можно оснастить креплениями для джутовой ткани или искусственного газона. 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</w:rPr>
        <w:t xml:space="preserve">При помощи устройства для размотки пленки (т.н. Polyroll) можно быстро и эффективно защитить </w:t>
      </w:r>
      <w:r w:rsidR="002A6590">
        <w:rPr>
          <w:rFonts w:ascii="Verdana" w:hAnsi="Verdana"/>
        </w:rPr>
        <w:t>цементо</w:t>
      </w:r>
      <w:r w:rsidRPr="00F553E1">
        <w:rPr>
          <w:rFonts w:ascii="Verdana" w:hAnsi="Verdana"/>
        </w:rPr>
        <w:t>бетон от отрицательного воздействия дождя. Для этого машина сразу за бетоноукладчиком со скользящими формами в противоположном направлении укладывает пленку для защиты от дождя.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4F2A9C" w:rsidRPr="00F553E1" w:rsidRDefault="004F2A9C" w:rsidP="004F2A9C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F553E1">
        <w:rPr>
          <w:rFonts w:ascii="Verdana" w:hAnsi="Verdana"/>
          <w:b/>
        </w:rPr>
        <w:t>ФОТОГРАФИИ</w:t>
      </w:r>
      <w:r w:rsidRPr="00F553E1">
        <w:rPr>
          <w:rFonts w:ascii="Verdana" w:hAnsi="Verdana"/>
        </w:rPr>
        <w:t>:</w:t>
      </w:r>
    </w:p>
    <w:p w:rsidR="004F2A9C" w:rsidRPr="00F553E1" w:rsidRDefault="004F2A9C" w:rsidP="004F2A9C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F553E1">
        <w:rPr>
          <w:rFonts w:ascii="Verdana" w:hAnsi="Verdana"/>
        </w:rPr>
        <w:t xml:space="preserve"> </w:t>
      </w:r>
    </w:p>
    <w:p w:rsidR="004F2A9C" w:rsidRPr="00F553E1" w:rsidRDefault="00810D6A" w:rsidP="004F2A9C">
      <w:pPr>
        <w:spacing w:after="0"/>
        <w:ind w:left="567" w:right="-271" w:hanging="7"/>
        <w:contextualSpacing/>
        <w:rPr>
          <w:rFonts w:ascii="Verdana" w:hAnsi="Verdana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6704" behindDoc="0" locked="0" layoutInCell="1" allowOverlap="1" wp14:anchorId="0EA01534" wp14:editId="2E5A17BA">
            <wp:simplePos x="0" y="0"/>
            <wp:positionH relativeFrom="column">
              <wp:posOffset>444500</wp:posOffset>
            </wp:positionH>
            <wp:positionV relativeFrom="paragraph">
              <wp:posOffset>161925</wp:posOffset>
            </wp:positionV>
            <wp:extent cx="2603500" cy="1844040"/>
            <wp:effectExtent l="0" t="0" r="6350" b="3810"/>
            <wp:wrapNone/>
            <wp:docPr id="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A9C" w:rsidRPr="00F553E1" w:rsidRDefault="00810D6A" w:rsidP="004F2A9C">
      <w:pPr>
        <w:spacing w:after="0"/>
        <w:ind w:left="5339" w:right="-271"/>
        <w:contextualSpacing/>
        <w:rPr>
          <w:rFonts w:ascii="Verdana" w:hAnsi="Verdana"/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14CF803" wp14:editId="10D362D6">
                <wp:simplePos x="0" y="0"/>
                <wp:positionH relativeFrom="column">
                  <wp:posOffset>3253105</wp:posOffset>
                </wp:positionH>
                <wp:positionV relativeFrom="paragraph">
                  <wp:posOffset>8255</wp:posOffset>
                </wp:positionV>
                <wp:extent cx="0" cy="1943735"/>
                <wp:effectExtent l="5080" t="8255" r="13970" b="10160"/>
                <wp:wrapNone/>
                <wp:docPr id="6" name="Gerade Verbindung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7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56.15pt,.65pt" to="256.1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97HAIAADYEAAAOAAAAZHJzL2Uyb0RvYy54bWysU8GO2yAQvVfqPyDuWduJN5tYcVaVnexl&#10;2420294ngGNUDAhInKjqvxeIE23aS1XVBzzAzJs3M4/F47ET6MCM5UqWOLtLMWKSKMrlrsRf39aj&#10;GUbWgaQglGQlPjGLH5cfPyx6XbCxapWgzCAPIm3R6xK3zukiSSxpWQf2Tmkm/WWjTAfOb80uoQZ6&#10;j96JZJym06RXhmqjCLPWn9bnS7yM+E3DiHtpGsscEiX23FxcTVy3YU2WCyh2BnTLyUAD/oFFB1z6&#10;pFeoGhygveF/QHWcGGVV4+6I6hLVNJywWIOvJkt/q+a1Bc1iLb45Vl/bZP8fLPly2BjEaYmnGEno&#10;/IiemAHK0DdmtlzSvdyhbBb61GtbePdKbkyolBzlq35W5LtFUlUtyB2LfN9O2oNkISK5CQkbq322&#10;bf9ZUe8De6di046N6QKkbwc6xtmcrrNhR4fI+ZD402yeTx4m9xEdikugNtY9MdWhYJRYcBnaBgUc&#10;nq0LRKC4uIRjqdZciDh6IVFf4kn2cB8DrBKchsvgZs1uWwmDDhDEE78h742bUXtJI1jLgK4G2wEX&#10;Z9snFzLg+VI8ncE6q+PHPJ2vZqtZPsrH09UoT+t69Gld5aPp2lOqJ3VV1dnPQC3Li5ZTymRgd1Fq&#10;lv+dEoY3c9bYVavXNiS36LFfnuzlH0nHWYbxnYWwVfS0MZcZe3FG5+EhBfW/33v7/XNf/gIAAP//&#10;AwBQSwMEFAAGAAgAAAAhALyV7e7fAAAACQEAAA8AAABkcnMvZG93bnJldi54bWxMj81OwzAQhO9I&#10;vIO1SNyo0xZaFOJUJIJDD1Tqj0R7c+MliYjXIXba8PYs6gFOq9E3mp1JFoNtxAk7XztSMB5FIJAK&#10;Z2oqFey2r3ePIHzQZHTjCBV8o4dFen2V6Ni4M63xtAml4BDysVZQhdDGUvqiQqv9yLVIzD5cZ3Vg&#10;2ZXSdPrM4baRkyiaSatr4g+VbjGvsPjc9FZB8O/7VeiXX9kse8txmx3yF7lU6vZmeH4CEXAIf2b4&#10;rc/VIeVOR9eT8aJR8DCeTNnKgA/ziz4qmEbze5BpIv8vSH8AAAD//wMAUEsBAi0AFAAGAAgAAAAh&#10;ALaDOJL+AAAA4QEAABMAAAAAAAAAAAAAAAAAAAAAAFtDb250ZW50X1R5cGVzXS54bWxQSwECLQAU&#10;AAYACAAAACEAOP0h/9YAAACUAQAACwAAAAAAAAAAAAAAAAAvAQAAX3JlbHMvLnJlbHNQSwECLQAU&#10;AAYACAAAACEAjnXPexwCAAA2BAAADgAAAAAAAAAAAAAAAAAuAgAAZHJzL2Uyb0RvYy54bWxQSwEC&#10;LQAUAAYACAAAACEAvJXt7t8AAAAJAQAADwAAAAAAAAAAAAAAAAB2BAAAZHJzL2Rvd25yZXYueG1s&#10;UEsFBgAAAAAEAAQA8wAAAIIFAAAAAA==&#10;" strokeweight=".25pt"/>
            </w:pict>
          </mc:Fallback>
        </mc:AlternateContent>
      </w:r>
      <w:r w:rsidR="004F2A9C" w:rsidRPr="00F553E1">
        <w:rPr>
          <w:rFonts w:ascii="Verdana" w:hAnsi="Verdana"/>
          <w:b/>
        </w:rPr>
        <w:t>SP94i_00216_HI</w:t>
      </w:r>
    </w:p>
    <w:p w:rsidR="004F2A9C" w:rsidRPr="00F553E1" w:rsidRDefault="004F2A9C" w:rsidP="004F2A9C">
      <w:pPr>
        <w:spacing w:after="0"/>
        <w:ind w:left="5339" w:right="-271"/>
        <w:contextualSpacing/>
        <w:rPr>
          <w:rFonts w:ascii="Verdana" w:hAnsi="Verdana"/>
          <w:sz w:val="20"/>
          <w:szCs w:val="20"/>
        </w:rPr>
      </w:pPr>
    </w:p>
    <w:p w:rsidR="004F2A9C" w:rsidRPr="00F553E1" w:rsidRDefault="004F2A9C" w:rsidP="004F2A9C">
      <w:pPr>
        <w:spacing w:after="0"/>
        <w:ind w:left="5339" w:right="-271"/>
        <w:contextualSpacing/>
        <w:rPr>
          <w:rFonts w:ascii="Verdana" w:hAnsi="Verdana"/>
          <w:sz w:val="20"/>
          <w:szCs w:val="20"/>
        </w:rPr>
      </w:pPr>
      <w:r w:rsidRPr="00F553E1">
        <w:rPr>
          <w:rFonts w:ascii="Verdana" w:hAnsi="Verdana"/>
          <w:sz w:val="20"/>
        </w:rPr>
        <w:t>Эксплуатация нового SP 94i в аэропорту Джефферсон-Сити Мемориал, Миссури / США. Для взлетно-посадочной полосы длиной 1,8 км бетоноукладчик со скользящими формами Wirtgen быстро и</w:t>
      </w:r>
      <w:r w:rsidR="00670E2C">
        <w:rPr>
          <w:rFonts w:ascii="Verdana" w:hAnsi="Verdana"/>
          <w:sz w:val="20"/>
          <w:lang w:val="de-DE"/>
        </w:rPr>
        <w:t> </w:t>
      </w:r>
      <w:r w:rsidRPr="00F553E1">
        <w:rPr>
          <w:rFonts w:ascii="Verdana" w:hAnsi="Verdana"/>
          <w:sz w:val="20"/>
        </w:rPr>
        <w:t xml:space="preserve">надежно уложил </w:t>
      </w:r>
      <w:r w:rsidR="00887425">
        <w:rPr>
          <w:rFonts w:ascii="Verdana" w:hAnsi="Verdana"/>
          <w:sz w:val="20"/>
        </w:rPr>
        <w:t>цементобетонное покрытие</w:t>
      </w:r>
      <w:r w:rsidRPr="00F553E1">
        <w:rPr>
          <w:rFonts w:ascii="Verdana" w:hAnsi="Verdana"/>
          <w:sz w:val="20"/>
        </w:rPr>
        <w:t xml:space="preserve"> </w:t>
      </w:r>
      <w:r w:rsidR="00887425" w:rsidRPr="00F553E1">
        <w:rPr>
          <w:rFonts w:ascii="Verdana" w:hAnsi="Verdana"/>
          <w:sz w:val="20"/>
        </w:rPr>
        <w:t>ширин</w:t>
      </w:r>
      <w:r w:rsidR="00887425">
        <w:rPr>
          <w:rFonts w:ascii="Verdana" w:hAnsi="Verdana"/>
          <w:sz w:val="20"/>
        </w:rPr>
        <w:t>ой</w:t>
      </w:r>
      <w:r w:rsidR="00887425" w:rsidRPr="00F553E1">
        <w:rPr>
          <w:rFonts w:ascii="Verdana" w:hAnsi="Verdana"/>
          <w:sz w:val="20"/>
        </w:rPr>
        <w:t xml:space="preserve"> </w:t>
      </w:r>
      <w:r w:rsidRPr="00F553E1">
        <w:rPr>
          <w:rFonts w:ascii="Verdana" w:hAnsi="Verdana"/>
          <w:sz w:val="20"/>
        </w:rPr>
        <w:t xml:space="preserve">30 м (4 полосы по 7,5 м) </w:t>
      </w:r>
      <w:r w:rsidR="00887425">
        <w:rPr>
          <w:rFonts w:ascii="Verdana" w:hAnsi="Verdana"/>
          <w:sz w:val="20"/>
        </w:rPr>
        <w:t>и</w:t>
      </w:r>
      <w:r w:rsidR="00887425" w:rsidRPr="00F553E1">
        <w:rPr>
          <w:rFonts w:ascii="Verdana" w:hAnsi="Verdana"/>
          <w:sz w:val="20"/>
        </w:rPr>
        <w:t xml:space="preserve"> </w:t>
      </w:r>
      <w:r w:rsidRPr="00F553E1">
        <w:rPr>
          <w:rFonts w:ascii="Verdana" w:hAnsi="Verdana"/>
          <w:sz w:val="20"/>
        </w:rPr>
        <w:t>толщиной 25 см.</w:t>
      </w:r>
    </w:p>
    <w:p w:rsidR="004F2A9C" w:rsidRPr="004556E9" w:rsidRDefault="004F2A9C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D06CE2" w:rsidRPr="004556E9" w:rsidRDefault="00D06CE2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421C9A" w:rsidRPr="004556E9" w:rsidRDefault="00421C9A" w:rsidP="004F2A9C">
      <w:pPr>
        <w:spacing w:after="0"/>
        <w:ind w:left="567" w:right="-271" w:hanging="7"/>
        <w:contextualSpacing/>
        <w:rPr>
          <w:rFonts w:ascii="Verdana" w:hAnsi="Verdana"/>
        </w:rPr>
      </w:pPr>
    </w:p>
    <w:p w:rsidR="003C250D" w:rsidRPr="004556E9" w:rsidRDefault="00D06CE2" w:rsidP="003C250D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4556E9">
        <w:rPr>
          <w:rFonts w:ascii="Verdana" w:hAnsi="Verdana"/>
          <w:b/>
        </w:rPr>
        <w:t>Более подробную информацию можно получить у</w:t>
      </w:r>
      <w:r w:rsidR="003C250D" w:rsidRPr="004556E9">
        <w:rPr>
          <w:rFonts w:ascii="Verdana" w:hAnsi="Verdana"/>
        </w:rPr>
        <w:t>:</w:t>
      </w:r>
    </w:p>
    <w:p w:rsidR="003C250D" w:rsidRPr="004556E9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3C250D" w:rsidRPr="00D06CE2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D06CE2">
        <w:rPr>
          <w:rFonts w:ascii="Verdana" w:hAnsi="Verdana"/>
          <w:lang w:val="en-US"/>
        </w:rPr>
        <w:t>WIRTGEN GmbH</w:t>
      </w:r>
    </w:p>
    <w:p w:rsidR="003C250D" w:rsidRPr="00D06CE2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D06CE2">
        <w:rPr>
          <w:rFonts w:ascii="Verdana" w:hAnsi="Verdana"/>
          <w:lang w:val="en-US"/>
        </w:rPr>
        <w:t>Corporate Communications</w:t>
      </w:r>
    </w:p>
    <w:p w:rsidR="003C250D" w:rsidRPr="00D06CE2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D06CE2">
        <w:rPr>
          <w:rFonts w:ascii="Verdana" w:hAnsi="Verdana"/>
          <w:lang w:val="en-US"/>
        </w:rPr>
        <w:t xml:space="preserve">Michaela Adams, Mario </w:t>
      </w:r>
      <w:proofErr w:type="spellStart"/>
      <w:r w:rsidRPr="00D06CE2">
        <w:rPr>
          <w:rFonts w:ascii="Verdana" w:hAnsi="Verdana"/>
          <w:lang w:val="en-US"/>
        </w:rPr>
        <w:t>Linnemann</w:t>
      </w:r>
      <w:proofErr w:type="spellEnd"/>
    </w:p>
    <w:p w:rsidR="003C250D" w:rsidRPr="00BB2584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 w:rsidRPr="00BB2584">
        <w:rPr>
          <w:rFonts w:ascii="Verdana" w:hAnsi="Verdana"/>
          <w:lang w:val="de-DE"/>
        </w:rPr>
        <w:t>Reinhard-Wirtgen-</w:t>
      </w:r>
      <w:proofErr w:type="spellStart"/>
      <w:r w:rsidRPr="00BB2584">
        <w:rPr>
          <w:rFonts w:ascii="Verdana" w:hAnsi="Verdana"/>
          <w:lang w:val="de-DE"/>
        </w:rPr>
        <w:t>Strasse</w:t>
      </w:r>
      <w:proofErr w:type="spellEnd"/>
      <w:r w:rsidRPr="00BB2584">
        <w:rPr>
          <w:rFonts w:ascii="Verdana" w:hAnsi="Verdana"/>
          <w:lang w:val="de-DE"/>
        </w:rPr>
        <w:t xml:space="preserve"> 2</w:t>
      </w:r>
    </w:p>
    <w:p w:rsidR="003C250D" w:rsidRPr="00BB2584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 w:rsidRPr="00BB2584">
        <w:rPr>
          <w:rFonts w:ascii="Verdana" w:hAnsi="Verdana"/>
          <w:lang w:val="de-DE"/>
        </w:rPr>
        <w:t xml:space="preserve">53578 </w:t>
      </w:r>
      <w:proofErr w:type="spellStart"/>
      <w:r w:rsidRPr="00BB2584">
        <w:rPr>
          <w:rFonts w:ascii="Verdana" w:hAnsi="Verdana"/>
          <w:lang w:val="de-DE"/>
        </w:rPr>
        <w:t>Windhagen</w:t>
      </w:r>
      <w:proofErr w:type="spellEnd"/>
    </w:p>
    <w:p w:rsidR="003C250D" w:rsidRPr="00BB2584" w:rsidRDefault="004556E9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>
        <w:rPr>
          <w:rFonts w:ascii="Verdana" w:hAnsi="Verdana"/>
          <w:lang w:val="de-DE"/>
        </w:rPr>
        <w:t>Germany</w:t>
      </w:r>
      <w:bookmarkStart w:id="0" w:name="_GoBack"/>
      <w:bookmarkEnd w:id="0"/>
    </w:p>
    <w:p w:rsidR="003C250D" w:rsidRPr="00BB2584" w:rsidRDefault="003C250D" w:rsidP="003C250D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</w:p>
    <w:p w:rsidR="003C250D" w:rsidRPr="00BB2584" w:rsidRDefault="003C250D" w:rsidP="003C250D">
      <w:pPr>
        <w:spacing w:after="0"/>
        <w:ind w:left="567" w:right="-271" w:hanging="7"/>
        <w:contextualSpacing/>
        <w:rPr>
          <w:rFonts w:ascii="Verdana" w:hAnsi="Verdana"/>
          <w:lang w:val="de-DE"/>
        </w:rPr>
      </w:pPr>
      <w:r w:rsidRPr="00BB2584">
        <w:rPr>
          <w:rFonts w:ascii="Verdana" w:hAnsi="Verdana"/>
          <w:lang w:val="de-DE"/>
        </w:rPr>
        <w:t>Telefon: +49 (0) 2645 131 – 0</w:t>
      </w:r>
    </w:p>
    <w:p w:rsidR="003C250D" w:rsidRPr="00BB2584" w:rsidRDefault="003C250D" w:rsidP="003C250D">
      <w:pPr>
        <w:spacing w:after="0"/>
        <w:ind w:left="567" w:right="-271" w:hanging="7"/>
        <w:contextualSpacing/>
        <w:rPr>
          <w:rFonts w:ascii="Verdana" w:hAnsi="Verdana"/>
          <w:lang w:val="de-DE"/>
        </w:rPr>
      </w:pPr>
      <w:r w:rsidRPr="00BB2584">
        <w:rPr>
          <w:rFonts w:ascii="Verdana" w:hAnsi="Verdana"/>
          <w:lang w:val="de-DE"/>
        </w:rPr>
        <w:t>Telefax: +49 (0) 2645 131 – 499</w:t>
      </w:r>
    </w:p>
    <w:p w:rsidR="003C250D" w:rsidRPr="00BB2584" w:rsidRDefault="003C250D" w:rsidP="003C250D">
      <w:pPr>
        <w:spacing w:after="0"/>
        <w:ind w:left="567" w:right="-271" w:hanging="7"/>
        <w:contextualSpacing/>
        <w:rPr>
          <w:rFonts w:ascii="Verdana" w:hAnsi="Verdana"/>
          <w:lang w:val="de-DE"/>
        </w:rPr>
      </w:pPr>
      <w:proofErr w:type="spellStart"/>
      <w:r w:rsidRPr="00BB2584">
        <w:rPr>
          <w:rFonts w:ascii="Verdana" w:hAnsi="Verdana"/>
          <w:lang w:val="de-DE"/>
        </w:rPr>
        <w:t>e-mail</w:t>
      </w:r>
      <w:proofErr w:type="spellEnd"/>
      <w:r w:rsidRPr="00BB2584">
        <w:rPr>
          <w:rFonts w:ascii="Verdana" w:hAnsi="Verdana"/>
          <w:lang w:val="de-DE"/>
        </w:rPr>
        <w:t xml:space="preserve">: </w:t>
      </w:r>
      <w:proofErr w:type="spellStart"/>
      <w:r w:rsidRPr="00BB2584">
        <w:rPr>
          <w:rFonts w:ascii="Verdana" w:hAnsi="Verdana"/>
          <w:lang w:val="de-DE"/>
        </w:rPr>
        <w:t>presse@wirtgen.com</w:t>
      </w:r>
      <w:proofErr w:type="spellEnd"/>
    </w:p>
    <w:p w:rsidR="003C250D" w:rsidRPr="00AC75FC" w:rsidRDefault="003C250D" w:rsidP="003C250D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  <w:proofErr w:type="spellStart"/>
      <w:r w:rsidRPr="00AC75FC">
        <w:rPr>
          <w:rFonts w:ascii="Verdana" w:hAnsi="Verdana"/>
          <w:lang w:val="en-US"/>
        </w:rPr>
        <w:t>www.wirtgen.com</w:t>
      </w:r>
      <w:proofErr w:type="spellEnd"/>
    </w:p>
    <w:sectPr w:rsidR="003C250D" w:rsidRPr="00AC75FC" w:rsidSect="004F2A9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A7" w:rsidRDefault="00ED78A7" w:rsidP="004F2A9C">
      <w:pPr>
        <w:spacing w:after="0" w:line="240" w:lineRule="auto"/>
      </w:pPr>
      <w:r>
        <w:separator/>
      </w:r>
    </w:p>
  </w:endnote>
  <w:endnote w:type="continuationSeparator" w:id="0">
    <w:p w:rsidR="00ED78A7" w:rsidRDefault="00ED78A7" w:rsidP="004F2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A9C" w:rsidRDefault="006B122C" w:rsidP="004F2A9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F2A9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F2A9C" w:rsidRDefault="004F2A9C" w:rsidP="004F2A9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A9C" w:rsidRDefault="004F2A9C" w:rsidP="004F2A9C">
    <w:pPr>
      <w:pStyle w:val="Fuzeile"/>
      <w:framePr w:w="1016" w:wrap="around" w:vAnchor="text" w:hAnchor="page" w:x="10315" w:y="-32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 w:rsidR="006B122C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B122C">
      <w:rPr>
        <w:rStyle w:val="Seitenzahl"/>
      </w:rPr>
      <w:fldChar w:fldCharType="separate"/>
    </w:r>
    <w:r w:rsidR="004556E9">
      <w:rPr>
        <w:rStyle w:val="Seitenzahl"/>
        <w:noProof/>
      </w:rPr>
      <w:t>5</w:t>
    </w:r>
    <w:r w:rsidR="006B122C">
      <w:rPr>
        <w:rStyle w:val="Seitenzahl"/>
      </w:rPr>
      <w:fldChar w:fldCharType="end"/>
    </w:r>
  </w:p>
  <w:p w:rsidR="004F2A9C" w:rsidRPr="006F0BB2" w:rsidRDefault="00810D6A" w:rsidP="004F2A9C">
    <w:pPr>
      <w:pStyle w:val="Fuzeile"/>
      <w:tabs>
        <w:tab w:val="clear" w:pos="4536"/>
        <w:tab w:val="clear" w:pos="9072"/>
      </w:tabs>
      <w:ind w:right="360"/>
      <w:jc w:val="center"/>
      <w:rPr>
        <w:rFonts w:ascii="Verdana" w:hAnsi="Verdana"/>
        <w:sz w:val="16"/>
        <w:szCs w:val="16"/>
      </w:rPr>
    </w:pPr>
    <w:r>
      <w:rPr>
        <w:noProof/>
        <w:lang w:val="de-DE" w:eastAsia="de-DE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-326390</wp:posOffset>
          </wp:positionH>
          <wp:positionV relativeFrom="paragraph">
            <wp:posOffset>-140970</wp:posOffset>
          </wp:positionV>
          <wp:extent cx="6765290" cy="118110"/>
          <wp:effectExtent l="0" t="0" r="0" b="0"/>
          <wp:wrapNone/>
          <wp:docPr id="2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A9C">
      <w:rPr>
        <w:rFonts w:ascii="Verdana" w:hAnsi="Verdana"/>
        <w:sz w:val="16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A7" w:rsidRDefault="00ED78A7" w:rsidP="004F2A9C">
      <w:pPr>
        <w:spacing w:after="0" w:line="240" w:lineRule="auto"/>
      </w:pPr>
      <w:r>
        <w:separator/>
      </w:r>
    </w:p>
  </w:footnote>
  <w:footnote w:type="continuationSeparator" w:id="0">
    <w:p w:rsidR="00ED78A7" w:rsidRDefault="00ED78A7" w:rsidP="004F2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A9C" w:rsidRDefault="006B122C" w:rsidP="004F2A9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F2A9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F2A9C" w:rsidRDefault="004F2A9C" w:rsidP="004F2A9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A9C" w:rsidRDefault="006B122C" w:rsidP="004F2A9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F2A9C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56E9">
      <w:rPr>
        <w:rStyle w:val="Seitenzahl"/>
        <w:noProof/>
      </w:rPr>
      <w:t>5</w:t>
    </w:r>
    <w:r>
      <w:rPr>
        <w:rStyle w:val="Seitenzahl"/>
      </w:rPr>
      <w:fldChar w:fldCharType="end"/>
    </w:r>
  </w:p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4F2A9C" w:rsidRPr="00656C50" w:rsidTr="004F2A9C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4F2A9C" w:rsidRPr="00656C50" w:rsidRDefault="004F2A9C" w:rsidP="004F2A9C">
          <w:pPr>
            <w:spacing w:after="0" w:line="240" w:lineRule="auto"/>
            <w:ind w:right="360"/>
            <w:rPr>
              <w:rFonts w:ascii="Times New Roman" w:eastAsia="MS Mincho" w:hAnsi="Times New Roman"/>
              <w:sz w:val="24"/>
              <w:szCs w:val="24"/>
            </w:rPr>
          </w:pPr>
        </w:p>
      </w:tc>
      <w:tc>
        <w:tcPr>
          <w:tcW w:w="4806" w:type="dxa"/>
          <w:tcMar>
            <w:left w:w="0" w:type="dxa"/>
            <w:right w:w="0" w:type="dxa"/>
          </w:tcMar>
        </w:tcPr>
        <w:p w:rsidR="004F2A9C" w:rsidRPr="00656C50" w:rsidRDefault="00810D6A" w:rsidP="004F2A9C">
          <w:pPr>
            <w:spacing w:after="0" w:line="240" w:lineRule="auto"/>
            <w:rPr>
              <w:rFonts w:ascii="Times New Roman" w:eastAsia="MS Mincho" w:hAnsi="Times New Roman"/>
              <w:sz w:val="24"/>
              <w:szCs w:val="24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-3319145</wp:posOffset>
                </wp:positionH>
                <wp:positionV relativeFrom="paragraph">
                  <wp:posOffset>-163830</wp:posOffset>
                </wp:positionV>
                <wp:extent cx="6655435" cy="1324610"/>
                <wp:effectExtent l="0" t="0" r="0" b="8890"/>
                <wp:wrapNone/>
                <wp:docPr id="4" name="Bild 4" descr="Daten Server II:WIRTGEN:Massnahmen 2016:Presseinformation_Vorlage:Presseinformation_WIRTGE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Daten Server II:WIRTGEN:Massnahmen 2016:Presseinformation_Vorlage:Presseinformation_WIRTGE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5435" cy="13246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F2A9C" w:rsidRPr="00656C50" w:rsidTr="004F2A9C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4F2A9C" w:rsidRPr="00656C50" w:rsidRDefault="00810D6A" w:rsidP="004F2A9C">
          <w:pPr>
            <w:pStyle w:val="Kopfzeile"/>
            <w:rPr>
              <w:rFonts w:ascii="Verdana" w:eastAsia="MS Mincho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inline distT="0" distB="0" distL="0" distR="0">
                <wp:extent cx="6115050" cy="8648700"/>
                <wp:effectExtent l="0" t="0" r="0" b="0"/>
                <wp:docPr id="1" name="Bild 12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2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5050" cy="864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de-DE" w:eastAsia="de-DE"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895" cy="384810"/>
                <wp:effectExtent l="0" t="0" r="1905" b="0"/>
                <wp:wrapNone/>
                <wp:docPr id="3" name="Bild 17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7" descr="Macintosh HD:Users:kai:Desktop:Wirtgen Group_Balk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895" cy="384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F2A9C" w:rsidRPr="00656C50" w:rsidRDefault="004F2A9C" w:rsidP="004F2A9C">
          <w:pPr>
            <w:pStyle w:val="Kopfzeile"/>
            <w:rPr>
              <w:rFonts w:ascii="Verdana" w:eastAsia="MS Mincho" w:hAnsi="Verdana"/>
              <w:sz w:val="20"/>
              <w:szCs w:val="20"/>
            </w:rPr>
          </w:pPr>
        </w:p>
      </w:tc>
    </w:tr>
  </w:tbl>
  <w:p w:rsidR="004F2A9C" w:rsidRPr="008A31D3" w:rsidRDefault="004F2A9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E2FA5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6EA09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6A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CEF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EE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4A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826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C1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A6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31B68"/>
    <w:rsid w:val="000F6EA6"/>
    <w:rsid w:val="00163037"/>
    <w:rsid w:val="00164508"/>
    <w:rsid w:val="001E0436"/>
    <w:rsid w:val="002A6590"/>
    <w:rsid w:val="002B2D96"/>
    <w:rsid w:val="00343FC4"/>
    <w:rsid w:val="003B61F3"/>
    <w:rsid w:val="003C250D"/>
    <w:rsid w:val="00417792"/>
    <w:rsid w:val="00421C9A"/>
    <w:rsid w:val="004556E9"/>
    <w:rsid w:val="004F2A9C"/>
    <w:rsid w:val="0057185A"/>
    <w:rsid w:val="00670E2C"/>
    <w:rsid w:val="006B122C"/>
    <w:rsid w:val="006D5EBE"/>
    <w:rsid w:val="008074F9"/>
    <w:rsid w:val="00810D6A"/>
    <w:rsid w:val="00831DD8"/>
    <w:rsid w:val="008621CD"/>
    <w:rsid w:val="00887425"/>
    <w:rsid w:val="008A31D3"/>
    <w:rsid w:val="009C623F"/>
    <w:rsid w:val="009F74DD"/>
    <w:rsid w:val="00AB5FE8"/>
    <w:rsid w:val="00B30D16"/>
    <w:rsid w:val="00B65788"/>
    <w:rsid w:val="00C113DA"/>
    <w:rsid w:val="00C852F3"/>
    <w:rsid w:val="00CB4396"/>
    <w:rsid w:val="00CB5B6F"/>
    <w:rsid w:val="00D06CE2"/>
    <w:rsid w:val="00D441DB"/>
    <w:rsid w:val="00DA482A"/>
    <w:rsid w:val="00ED78A7"/>
    <w:rsid w:val="00F553E1"/>
    <w:rsid w:val="00F5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21E2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rPr>
      <w:rFonts w:ascii="Times New Roman" w:eastAsia="MS Mincho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="MS Mincho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  <w:lang w:val="ru-RU" w:eastAsia="ru-RU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  <w:lang w:val="ru-RU" w:eastAsia="ru-RU"/>
    </w:rPr>
  </w:style>
  <w:style w:type="character" w:styleId="Funotenzeichen">
    <w:name w:val="footnote reference"/>
    <w:uiPriority w:val="99"/>
    <w:unhideWhenUsed/>
    <w:rsid w:val="0007588A"/>
    <w:rPr>
      <w:vertAlign w:val="superscript"/>
      <w:lang w:val="ru-RU" w:eastAsia="ru-RU"/>
    </w:rPr>
  </w:style>
  <w:style w:type="character" w:styleId="Hyperlink">
    <w:name w:val="Hyperlink"/>
    <w:uiPriority w:val="99"/>
    <w:unhideWhenUsed/>
    <w:rsid w:val="00F27869"/>
    <w:rPr>
      <w:color w:val="0000FF"/>
      <w:u w:val="single"/>
      <w:lang w:val="ru-RU" w:eastAsia="ru-RU"/>
    </w:rPr>
  </w:style>
  <w:style w:type="character" w:styleId="Kommentarzeichen">
    <w:name w:val="annotation reference"/>
    <w:uiPriority w:val="99"/>
    <w:semiHidden/>
    <w:unhideWhenUsed/>
    <w:rsid w:val="00AE2922"/>
    <w:rPr>
      <w:sz w:val="16"/>
      <w:szCs w:val="16"/>
      <w:lang w:val="ru-RU" w:eastAsia="ru-RU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AE2922"/>
    <w:rPr>
      <w:sz w:val="20"/>
      <w:szCs w:val="20"/>
      <w:lang w:val="ru-RU" w:eastAsia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E2922"/>
    <w:rPr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21E2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rPr>
      <w:rFonts w:ascii="Times New Roman" w:eastAsia="MS Mincho" w:hAnsi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="MS Mincho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  <w:lang w:val="ru-RU" w:eastAsia="ru-RU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  <w:lang w:val="ru-RU" w:eastAsia="ru-RU"/>
    </w:rPr>
  </w:style>
  <w:style w:type="character" w:styleId="Funotenzeichen">
    <w:name w:val="footnote reference"/>
    <w:uiPriority w:val="99"/>
    <w:unhideWhenUsed/>
    <w:rsid w:val="0007588A"/>
    <w:rPr>
      <w:vertAlign w:val="superscript"/>
      <w:lang w:val="ru-RU" w:eastAsia="ru-RU"/>
    </w:rPr>
  </w:style>
  <w:style w:type="character" w:styleId="Hyperlink">
    <w:name w:val="Hyperlink"/>
    <w:uiPriority w:val="99"/>
    <w:unhideWhenUsed/>
    <w:rsid w:val="00F27869"/>
    <w:rPr>
      <w:color w:val="0000FF"/>
      <w:u w:val="single"/>
      <w:lang w:val="ru-RU" w:eastAsia="ru-RU"/>
    </w:rPr>
  </w:style>
  <w:style w:type="character" w:styleId="Kommentarzeichen">
    <w:name w:val="annotation reference"/>
    <w:uiPriority w:val="99"/>
    <w:semiHidden/>
    <w:unhideWhenUsed/>
    <w:rsid w:val="00AE2922"/>
    <w:rPr>
      <w:sz w:val="16"/>
      <w:szCs w:val="16"/>
      <w:lang w:val="ru-RU" w:eastAsia="ru-RU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AE2922"/>
    <w:rPr>
      <w:sz w:val="20"/>
      <w:szCs w:val="20"/>
      <w:lang w:val="ru-RU" w:eastAsia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E2922"/>
    <w:rPr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C300B2-BCAE-479F-9F54-B6FC0D53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7397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Linnemann Mario</cp:lastModifiedBy>
  <cp:revision>3</cp:revision>
  <cp:lastPrinted>2016-01-03T15:32:00Z</cp:lastPrinted>
  <dcterms:created xsi:type="dcterms:W3CDTF">2016-01-07T12:44:00Z</dcterms:created>
  <dcterms:modified xsi:type="dcterms:W3CDTF">2016-01-07T13:05:00Z</dcterms:modified>
</cp:coreProperties>
</file>